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8622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6CF35C4A" w14:textId="3DD484BA" w:rsidR="00925702" w:rsidRDefault="008622E3" w:rsidP="008622E3">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5906005" w:rsidR="009C7BE6" w:rsidRDefault="00CE5D9F" w:rsidP="009C7BE6">
          <w:pPr>
            <w:jc w:val="both"/>
            <w:rPr>
              <w:rFonts w:ascii="Tw Cen MT" w:hAnsi="Tw Cen MT"/>
              <w:b/>
              <w:bCs/>
              <w:sz w:val="24"/>
            </w:rPr>
          </w:pPr>
          <w:r>
            <w:rPr>
              <w:rFonts w:ascii="Tw Cen MT" w:hAnsi="Tw Cen MT"/>
              <w:b/>
              <w:bCs/>
              <w:sz w:val="24"/>
            </w:rPr>
            <w:t>COMMENTARY</w:t>
          </w:r>
        </w:p>
      </w:sdtContent>
    </w:sdt>
    <w:p w14:paraId="78593FBA" w14:textId="3FFC39F1" w:rsidR="00F77C64" w:rsidRDefault="008622E3" w:rsidP="00D46553">
      <w:pPr>
        <w:rPr>
          <w:rFonts w:ascii="Tw Cen MT" w:hAnsi="Tw Cen MT"/>
          <w:bCs/>
        </w:rPr>
      </w:pPr>
      <w:r w:rsidRPr="00CE5D9F">
        <w:rPr>
          <w:rFonts w:ascii="Tw Cen MT" w:hAnsi="Tw Cen MT"/>
          <w:bCs/>
        </w:rPr>
        <w:t>The commentary should not exceed 2,000 words. The text should focus on the role of the clinician providing athletic training services in collaboration with the patient regarding their goals and values as well as the risks, benefits, and options with treatment. The commentary will seek to provide insight into emerging issues, current sociocultural concerns, and unique experiences in achieving patient-centered care in work, life, and sport.</w:t>
      </w:r>
      <w:r w:rsidR="00F77C64" w:rsidRPr="00F77C64">
        <w:rPr>
          <w:rFonts w:ascii="Tw Cen MT" w:hAnsi="Tw Cen MT"/>
          <w:bCs/>
        </w:rPr>
        <w:t xml:space="preserve"> </w:t>
      </w:r>
    </w:p>
    <w:sdt>
      <w:sdtPr>
        <w:rPr>
          <w:rFonts w:ascii="Tw Cen MT" w:hAnsi="Tw Cen MT"/>
          <w:b/>
          <w:bCs/>
          <w:sz w:val="24"/>
        </w:rPr>
        <w:id w:val="1743833811"/>
        <w:lock w:val="sdtContentLocked"/>
        <w:placeholder>
          <w:docPart w:val="DefaultPlaceholder_-1854013440"/>
        </w:placeholder>
      </w:sdtPr>
      <w:sdtEndPr/>
      <w:sdtContent>
        <w:p w14:paraId="7019CF91" w14:textId="5698AF0E" w:rsidR="00F77C64" w:rsidRDefault="00F77C64" w:rsidP="00F77C64">
          <w:pPr>
            <w:rPr>
              <w:rFonts w:ascii="Tw Cen MT" w:hAnsi="Tw Cen MT"/>
              <w:bCs/>
            </w:rPr>
          </w:pPr>
          <w:r w:rsidRPr="00F77C64">
            <w:rPr>
              <w:rFonts w:ascii="Tw Cen MT" w:hAnsi="Tw Cen MT"/>
              <w:b/>
              <w:bCs/>
              <w:sz w:val="24"/>
            </w:rPr>
            <w:t>REFERENCES</w:t>
          </w:r>
        </w:p>
      </w:sdtContent>
    </w:sdt>
    <w:p w14:paraId="10B67923" w14:textId="266B5816" w:rsidR="00713888" w:rsidRPr="00713888" w:rsidRDefault="008622E3" w:rsidP="00F77C64">
      <w:pPr>
        <w:rPr>
          <w:rFonts w:ascii="Tw Cen MT" w:hAnsi="Tw Cen MT"/>
          <w:bCs/>
        </w:rPr>
      </w:pPr>
      <w:r>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8622E3">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2145" w14:textId="77777777" w:rsidR="00A3309B" w:rsidRDefault="00A3309B" w:rsidP="00245B4B">
      <w:pPr>
        <w:spacing w:after="0" w:line="240" w:lineRule="auto"/>
      </w:pPr>
      <w:r>
        <w:separator/>
      </w:r>
    </w:p>
  </w:endnote>
  <w:endnote w:type="continuationSeparator" w:id="0">
    <w:p w14:paraId="313E71BB" w14:textId="77777777" w:rsidR="00A3309B" w:rsidRDefault="00A3309B"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8622E3"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8622E3"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44F2" w14:textId="77777777" w:rsidR="00A3309B" w:rsidRDefault="00A3309B" w:rsidP="00245B4B">
      <w:pPr>
        <w:spacing w:after="0" w:line="240" w:lineRule="auto"/>
      </w:pPr>
      <w:r>
        <w:separator/>
      </w:r>
    </w:p>
  </w:footnote>
  <w:footnote w:type="continuationSeparator" w:id="0">
    <w:p w14:paraId="59ABD33F" w14:textId="77777777" w:rsidR="00A3309B" w:rsidRDefault="00A3309B"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57ACDBDC" w:rsidR="00C53250" w:rsidRPr="0021516B" w:rsidRDefault="00CE5D9F"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PATIENT-CENTERED CARE COMMENTARY</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136976">
    <w:abstractNumId w:val="0"/>
  </w:num>
  <w:num w:numId="2" w16cid:durableId="1479108017">
    <w:abstractNumId w:val="2"/>
  </w:num>
  <w:num w:numId="3" w16cid:durableId="134762344">
    <w:abstractNumId w:val="4"/>
  </w:num>
  <w:num w:numId="4" w16cid:durableId="257368166">
    <w:abstractNumId w:val="3"/>
  </w:num>
  <w:num w:numId="5" w16cid:durableId="564268187">
    <w:abstractNumId w:val="10"/>
  </w:num>
  <w:num w:numId="6" w16cid:durableId="1911381593">
    <w:abstractNumId w:val="7"/>
  </w:num>
  <w:num w:numId="7" w16cid:durableId="921181546">
    <w:abstractNumId w:val="6"/>
  </w:num>
  <w:num w:numId="8" w16cid:durableId="1805539534">
    <w:abstractNumId w:val="5"/>
  </w:num>
  <w:num w:numId="9" w16cid:durableId="251017018">
    <w:abstractNumId w:val="9"/>
  </w:num>
  <w:num w:numId="10" w16cid:durableId="235171759">
    <w:abstractNumId w:val="1"/>
  </w:num>
  <w:num w:numId="11" w16cid:durableId="18398088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63CFC"/>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398"/>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22E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09B"/>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D40C7"/>
    <w:rsid w:val="00B0396F"/>
    <w:rsid w:val="00B138FB"/>
    <w:rsid w:val="00B24CC6"/>
    <w:rsid w:val="00B41B2B"/>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5D9F"/>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83804"/>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900629">
    <w:abstractNumId w:val="0"/>
  </w:num>
  <w:num w:numId="2" w16cid:durableId="151514300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1D785C"/>
    <w:rsid w:val="00407111"/>
    <w:rsid w:val="00821D19"/>
    <w:rsid w:val="00912BFE"/>
    <w:rsid w:val="00977096"/>
    <w:rsid w:val="00987D40"/>
    <w:rsid w:val="009D1844"/>
    <w:rsid w:val="00A70A77"/>
    <w:rsid w:val="00A712A7"/>
    <w:rsid w:val="00A77EE1"/>
    <w:rsid w:val="00C13049"/>
    <w:rsid w:val="00E83804"/>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BFE"/>
    <w:rPr>
      <w:color w:val="808080"/>
    </w:r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156082" w:themeColor="accent1"/>
    </w:rPr>
  </w:style>
  <w:style w:type="paragraph" w:styleId="ListParagraph">
    <w:name w:val="List Paragraph"/>
    <w:basedOn w:val="Normal"/>
    <w:uiPriority w:val="34"/>
    <w:qFormat/>
    <w:rsid w:val="00F7109C"/>
    <w:pPr>
      <w:spacing w:after="200" w:line="276" w:lineRule="auto"/>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4F84F-0D33-4F28-A507-1F3FD855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2025-02-06T15:06:00Z</dcterms:created>
  <dcterms:modified xsi:type="dcterms:W3CDTF">2025-02-06T15:06:00Z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2025-02-06T15:06:23Z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7344ff76-6a19-40e3-905d-fe966b3ce497</vt:lpwstr>
  </property>
  <property fmtid="{D5CDD505-2E9C-101B-9397-08002B2CF9AE}" pid="8" name="MSIP_Label_a7d7606c-7d5c-46d1-bb7e-fa055a2174b9_ContentBits">
    <vt:lpwstr>0</vt:lpwstr>
  </property>
</Properties>
</file>