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787405" w14:textId="37D52C76" w:rsidR="00CF5DB0" w:rsidRPr="008352AC" w:rsidRDefault="001460AE" w:rsidP="00CF5DB0">
      <w:pPr>
        <w:pStyle w:val="Header"/>
        <w:pBdr>
          <w:bottom w:val="single" w:sz="4" w:space="8" w:color="156082" w:themeColor="accent1"/>
        </w:pBdr>
        <w:contextualSpacing/>
        <w:rPr>
          <w:rFonts w:ascii="Tw Cen MT" w:hAnsi="Tw Cen MT"/>
          <w:b/>
          <w:bCs/>
          <w:sz w:val="40"/>
          <w:szCs w:val="28"/>
        </w:rPr>
      </w:pPr>
      <w:r>
        <w:rPr>
          <w:rFonts w:ascii="Tw Cen MT" w:hAnsi="Tw Cen MT"/>
          <w:b/>
          <w:bCs/>
          <w:sz w:val="40"/>
          <w:szCs w:val="28"/>
        </w:rPr>
        <w:t>Title</w:t>
      </w:r>
    </w:p>
    <w:p w14:paraId="1707C646" w14:textId="77777777" w:rsidR="00CF5DB0" w:rsidRDefault="00CF5DB0" w:rsidP="00CF5DB0">
      <w:pPr>
        <w:pStyle w:val="Header"/>
        <w:pBdr>
          <w:bottom w:val="single" w:sz="4" w:space="8" w:color="156082" w:themeColor="accent1"/>
        </w:pBdr>
        <w:contextualSpacing/>
        <w:rPr>
          <w:rFonts w:ascii="Tw Cen MT" w:hAnsi="Tw Cen MT"/>
          <w:sz w:val="32"/>
        </w:rPr>
      </w:pPr>
      <w:r w:rsidRPr="008352AC">
        <w:rPr>
          <w:rFonts w:ascii="Tw Cen MT" w:hAnsi="Tw Cen MT"/>
          <w:sz w:val="32"/>
        </w:rPr>
        <w:t>Author</w:t>
      </w:r>
      <w:r>
        <w:rPr>
          <w:rFonts w:ascii="Tw Cen MT" w:hAnsi="Tw Cen MT"/>
          <w:sz w:val="32"/>
        </w:rPr>
        <w:t>s Names</w:t>
      </w:r>
      <w:r w:rsidRPr="008352AC">
        <w:rPr>
          <w:rFonts w:ascii="Tw Cen MT" w:hAnsi="Tw Cen MT"/>
          <w:sz w:val="32"/>
        </w:rPr>
        <w:t xml:space="preserve"> Here</w:t>
      </w:r>
    </w:p>
    <w:p w14:paraId="204E38D5" w14:textId="77777777" w:rsidR="00CF5DB0" w:rsidRPr="008352AC" w:rsidRDefault="00CF5DB0" w:rsidP="00CF5DB0">
      <w:pPr>
        <w:pStyle w:val="Header"/>
        <w:pBdr>
          <w:bottom w:val="single" w:sz="4" w:space="8" w:color="156082" w:themeColor="accent1"/>
        </w:pBdr>
        <w:contextualSpacing/>
        <w:rPr>
          <w:rFonts w:ascii="Tw Cen MT" w:hAnsi="Tw Cen MT"/>
          <w:sz w:val="24"/>
          <w:szCs w:val="18"/>
        </w:rPr>
      </w:pPr>
      <w:r>
        <w:rPr>
          <w:rFonts w:ascii="Tw Cen MT" w:hAnsi="Tw Cen MT"/>
          <w:sz w:val="24"/>
          <w:szCs w:val="18"/>
        </w:rPr>
        <w:t>Affiliation, City, State</w:t>
      </w:r>
    </w:p>
    <w:p w14:paraId="1B8E1B11" w14:textId="77777777" w:rsidR="00CF5DB0" w:rsidRPr="00C90720" w:rsidRDefault="00CF5DB0" w:rsidP="00CF5DB0">
      <w:pPr>
        <w:pStyle w:val="BodyText"/>
        <w:spacing w:after="0" w:line="240" w:lineRule="auto"/>
        <w:rPr>
          <w:rFonts w:ascii="Tw Cen MT" w:hAnsi="Tw Cen MT"/>
          <w:b/>
          <w:bCs/>
        </w:rPr>
      </w:pPr>
    </w:p>
    <w:p w14:paraId="4DE51800" w14:textId="05D2E508" w:rsidR="00955E73" w:rsidRPr="00955E73" w:rsidRDefault="00955E73" w:rsidP="00955E73">
      <w:pPr>
        <w:pStyle w:val="BodyText"/>
        <w:spacing w:after="0" w:line="240" w:lineRule="auto"/>
        <w:rPr>
          <w:rFonts w:ascii="Tw Cen MT" w:hAnsi="Tw Cen MT"/>
          <w:bCs/>
          <w:highlight w:val="cyan"/>
        </w:rPr>
      </w:pPr>
      <w:r w:rsidRPr="00955E73">
        <w:rPr>
          <w:rFonts w:ascii="Tw Cen MT" w:hAnsi="Tw Cen MT"/>
          <w:b/>
          <w:bCs/>
          <w:highlight w:val="cyan"/>
        </w:rPr>
        <w:t xml:space="preserve">ABOUT THIS MANUSCRIPT TYPE: </w:t>
      </w:r>
      <w:r w:rsidR="00C90720" w:rsidRPr="00955E73">
        <w:rPr>
          <w:rFonts w:ascii="Tw Cen MT" w:hAnsi="Tw Cen MT"/>
          <w:highlight w:val="cyan"/>
        </w:rPr>
        <w:t xml:space="preserve">Commentaries are scholarly manuscripts that provide concise, evidence-informed perspectives drawn from the author's lived experiences, clinical expertise, and professional skill development. These articles should synthesize the implementation of the best available evidence with practical insights gained through patient interactions, education, in-service training, quality improvement initiatives, and reflective practice. The goal is to advance understanding of how evidence is translated into clinical practice while offering lessons that may be applicable across healthcare settings. Authors may also discuss innovative approaches to clinical practice advancement, quality improvement, or risk management. When describing institutional policies or procedures, authors should include an explanation of the rationale for the policy, the process used in its development, and its impact on patient care, clinical outcomes, or organizational practice. Commentaries should be balanced, scholarly, and supported by current literature where appropriate. </w:t>
      </w:r>
      <w:r w:rsidRPr="00955E73">
        <w:rPr>
          <w:rFonts w:ascii="Tw Cen MT" w:hAnsi="Tw Cen MT"/>
          <w:bCs/>
          <w:highlight w:val="cyan"/>
        </w:rPr>
        <w:t xml:space="preserve">Editorials provide informed perspectives on timely issues, emerging trends, published research, or matters of significance to the journal's readership. Editorials are intended to stimulate discussion, provide context, and highlight the implications of important developments in clinical practice, research, education, or healthcare policy. Editorials are reserved for members of the Editorial Board or authors who have received prior approval from the Editor-in-Chief (EIC). </w:t>
      </w:r>
    </w:p>
    <w:p w14:paraId="2A750706" w14:textId="77777777" w:rsidR="00955E73" w:rsidRDefault="00955E73" w:rsidP="00C90720">
      <w:pPr>
        <w:spacing w:after="0"/>
        <w:jc w:val="both"/>
        <w:rPr>
          <w:rFonts w:ascii="Tw Cen MT" w:hAnsi="Tw Cen MT"/>
          <w:bCs/>
          <w:sz w:val="24"/>
          <w:szCs w:val="24"/>
          <w:highlight w:val="yellow"/>
        </w:rPr>
      </w:pPr>
    </w:p>
    <w:p w14:paraId="189A7369" w14:textId="77777777" w:rsidR="00955E73" w:rsidRPr="00C90720" w:rsidRDefault="00955E73" w:rsidP="00955E73">
      <w:pPr>
        <w:pStyle w:val="BodyText"/>
        <w:spacing w:after="0" w:line="240" w:lineRule="auto"/>
        <w:rPr>
          <w:rFonts w:ascii="Tw Cen MT" w:hAnsi="Tw Cen MT"/>
          <w:b/>
          <w:bCs/>
        </w:rPr>
      </w:pPr>
      <w:r w:rsidRPr="00C90720">
        <w:rPr>
          <w:rFonts w:ascii="Tw Cen MT" w:hAnsi="Tw Cen MT"/>
          <w:b/>
          <w:bCs/>
        </w:rPr>
        <w:t>COMMENTARY</w:t>
      </w:r>
    </w:p>
    <w:p w14:paraId="3039E0AC" w14:textId="77777777" w:rsidR="00955E73" w:rsidRPr="00955E73" w:rsidRDefault="00955E73" w:rsidP="00955E73">
      <w:pPr>
        <w:pStyle w:val="BodyText"/>
        <w:spacing w:after="0" w:line="240" w:lineRule="auto"/>
        <w:rPr>
          <w:rFonts w:ascii="Tw Cen MT" w:hAnsi="Tw Cen MT"/>
          <w:bCs/>
          <w:highlight w:val="yellow"/>
        </w:rPr>
      </w:pPr>
      <w:r w:rsidRPr="00955E73">
        <w:rPr>
          <w:rFonts w:ascii="Tw Cen MT" w:hAnsi="Tw Cen MT"/>
          <w:highlight w:val="yellow"/>
        </w:rPr>
        <w:t>Manuscripts should not exceed 2,000 words, excluding reference</w:t>
      </w:r>
      <w:r w:rsidRPr="00955E73">
        <w:rPr>
          <w:rFonts w:ascii="Tw Cen MT" w:hAnsi="Tw Cen MT"/>
          <w:bCs/>
          <w:highlight w:val="yellow"/>
        </w:rPr>
        <w:t>s.</w:t>
      </w:r>
    </w:p>
    <w:p w14:paraId="6D5097F4" w14:textId="77777777" w:rsidR="00C90720" w:rsidRPr="00955E73" w:rsidRDefault="00C90720" w:rsidP="00C90720">
      <w:pPr>
        <w:spacing w:after="0"/>
        <w:jc w:val="both"/>
        <w:rPr>
          <w:rFonts w:ascii="Tw Cen MT" w:hAnsi="Tw Cen MT"/>
          <w:bCs/>
          <w:sz w:val="24"/>
          <w:szCs w:val="24"/>
          <w:highlight w:val="yellow"/>
        </w:rPr>
      </w:pPr>
    </w:p>
    <w:p w14:paraId="177BE46E" w14:textId="77777777" w:rsidR="00C90720" w:rsidRPr="00C90720" w:rsidRDefault="001460AE" w:rsidP="00C90720">
      <w:pPr>
        <w:spacing w:after="0" w:line="240" w:lineRule="auto"/>
        <w:jc w:val="both"/>
        <w:rPr>
          <w:rFonts w:ascii="Tw Cen MT" w:hAnsi="Tw Cen MT"/>
          <w:b/>
          <w:bCs/>
          <w:sz w:val="24"/>
          <w:szCs w:val="24"/>
        </w:rPr>
      </w:pPr>
      <w:r w:rsidRPr="00C90720">
        <w:rPr>
          <w:rFonts w:ascii="Tw Cen MT" w:hAnsi="Tw Cen MT"/>
          <w:b/>
          <w:bCs/>
          <w:sz w:val="24"/>
          <w:szCs w:val="24"/>
        </w:rPr>
        <w:t>REFERENCES</w:t>
      </w:r>
    </w:p>
    <w:p w14:paraId="1497CC1B" w14:textId="06C3901A" w:rsidR="00422A0F" w:rsidRPr="00C90720" w:rsidRDefault="001460AE" w:rsidP="00C90720">
      <w:pPr>
        <w:spacing w:after="0" w:line="240" w:lineRule="auto"/>
        <w:jc w:val="both"/>
        <w:rPr>
          <w:rFonts w:ascii="Tw Cen MT" w:hAnsi="Tw Cen MT"/>
          <w:b/>
          <w:bCs/>
          <w:sz w:val="24"/>
          <w:szCs w:val="24"/>
        </w:rPr>
      </w:pPr>
      <w:r w:rsidRPr="00C90720">
        <w:rPr>
          <w:rStyle w:val="PlaceholderText"/>
          <w:rFonts w:ascii="Tw Cen MT" w:hAnsi="Tw Cen MT"/>
          <w:color w:val="auto"/>
          <w:sz w:val="24"/>
          <w:szCs w:val="24"/>
          <w:highlight w:val="yellow"/>
        </w:rPr>
        <w:t>List all references used to support the case at the conclusion of the column. References should follow the format specified by the AMA Manual of Style, 11th edition</w:t>
      </w:r>
    </w:p>
    <w:p w14:paraId="4CA47785"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
    <w:p w14:paraId="7383DDD3" w14:textId="77777777" w:rsidR="002D4021" w:rsidRDefault="002D4021"/>
    <w:sectPr w:rsidR="002D4021" w:rsidSect="00577C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3DDD89" w14:textId="77777777" w:rsidR="00150B4E" w:rsidRDefault="00150B4E" w:rsidP="00CF5DB0">
      <w:pPr>
        <w:spacing w:after="0" w:line="240" w:lineRule="auto"/>
      </w:pPr>
      <w:r>
        <w:separator/>
      </w:r>
    </w:p>
  </w:endnote>
  <w:endnote w:type="continuationSeparator" w:id="0">
    <w:p w14:paraId="66F35089" w14:textId="77777777" w:rsidR="00150B4E" w:rsidRDefault="00150B4E" w:rsidP="00CF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altName w:val="Arial MT Std Cond"/>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C1F3F2" w14:textId="77777777" w:rsidR="001375E5" w:rsidRDefault="001375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B66D2"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
  <w:p w14:paraId="6FC439FD" w14:textId="77777777" w:rsidR="00CF5DB0" w:rsidRDefault="00CF5DB0" w:rsidP="00CF5DB0">
    <w:pPr>
      <w:pStyle w:val="Header"/>
    </w:pPr>
  </w:p>
  <w:p w14:paraId="540EFDCB" w14:textId="77777777" w:rsidR="001375E5" w:rsidRDefault="001375E5" w:rsidP="001375E5">
    <w:pPr>
      <w:pStyle w:val="Footer"/>
      <w:tabs>
        <w:tab w:val="clear" w:pos="4680"/>
        <w:tab w:val="center" w:pos="4860"/>
      </w:tabs>
      <w:rPr>
        <w:rFonts w:ascii="Tw Cen MT" w:hAnsi="Tw Cen MT"/>
        <w:sz w:val="18"/>
        <w:szCs w:val="18"/>
      </w:rPr>
    </w:pPr>
    <w:r>
      <w:rPr>
        <w:rFonts w:ascii="Tw Cen MT" w:hAnsi="Tw Cen MT"/>
        <w:sz w:val="18"/>
        <w:szCs w:val="24"/>
      </w:rPr>
      <w:t>C</w:t>
    </w:r>
    <w:r w:rsidRPr="00CF5DB0">
      <w:rPr>
        <w:rFonts w:ascii="Tw Cen MT" w:hAnsi="Tw Cen MT"/>
        <w:sz w:val="18"/>
        <w:szCs w:val="18"/>
      </w:rPr>
      <w:t>linical Practice in Athletic Training</w:t>
    </w:r>
    <w:r>
      <w:rPr>
        <w:rFonts w:ascii="Tw Cen MT" w:hAnsi="Tw Cen MT"/>
        <w:sz w:val="18"/>
        <w:szCs w:val="18"/>
      </w:rPr>
      <w:t xml:space="preserve"> </w:t>
    </w:r>
    <w:r>
      <w:rPr>
        <w:rFonts w:ascii="Tw Cen MT" w:hAnsi="Tw Cen MT"/>
        <w:sz w:val="18"/>
        <w:szCs w:val="18"/>
      </w:rPr>
      <w:tab/>
    </w:r>
    <w:r>
      <w:rPr>
        <w:rFonts w:ascii="Tw Cen MT" w:hAnsi="Tw Cen MT"/>
        <w:sz w:val="18"/>
        <w:szCs w:val="18"/>
      </w:rPr>
      <w:tab/>
    </w:r>
    <w:r w:rsidRPr="007470D6">
      <w:rPr>
        <w:rFonts w:ascii="Tw Cen MT" w:hAnsi="Tw Cen MT"/>
        <w:sz w:val="18"/>
        <w:szCs w:val="18"/>
      </w:rPr>
      <w:t xml:space="preserve">This is an open access article distributed under the terms of the </w:t>
    </w:r>
  </w:p>
  <w:p w14:paraId="5E2B2DE9" w14:textId="27C13B38" w:rsidR="001375E5" w:rsidRDefault="001375E5" w:rsidP="001375E5">
    <w:pPr>
      <w:pStyle w:val="Footer"/>
      <w:tabs>
        <w:tab w:val="clear" w:pos="4680"/>
        <w:tab w:val="center" w:pos="4320"/>
      </w:tabs>
      <w:rPr>
        <w:rFonts w:ascii="Tw Cen MT" w:hAnsi="Tw Cen MT"/>
        <w:sz w:val="18"/>
        <w:szCs w:val="18"/>
      </w:rPr>
    </w:pPr>
    <w:r w:rsidRPr="00CF5DB0">
      <w:rPr>
        <w:rFonts w:ascii="Tw Cen MT" w:hAnsi="Tw Cen MT"/>
        <w:sz w:val="18"/>
        <w:szCs w:val="18"/>
      </w:rPr>
      <w:t xml:space="preserve">Copyright © </w:t>
    </w:r>
    <w:r w:rsidR="005C2269">
      <w:rPr>
        <w:rFonts w:ascii="Tw Cen MT" w:hAnsi="Tw Cen MT"/>
        <w:sz w:val="18"/>
        <w:szCs w:val="18"/>
      </w:rPr>
      <w:t>The Author(s)</w:t>
    </w:r>
    <w:r w:rsidRPr="00CF5DB0">
      <w:rPr>
        <w:rFonts w:ascii="Tw Cen MT" w:hAnsi="Tw Cen MT"/>
        <w:sz w:val="18"/>
        <w:szCs w:val="18"/>
      </w:rPr>
      <w:t xml:space="preserve"> </w:t>
    </w:r>
    <w:r>
      <w:rPr>
        <w:rFonts w:ascii="Tw Cen MT" w:hAnsi="Tw Cen MT"/>
        <w:sz w:val="18"/>
        <w:szCs w:val="18"/>
      </w:rPr>
      <w:tab/>
    </w:r>
    <w:r w:rsidRPr="00CF5DB0">
      <w:rPr>
        <w:rFonts w:ascii="Tw Cen MT" w:hAnsi="Tw Cen MT"/>
        <w:sz w:val="18"/>
        <w:szCs w:val="18"/>
      </w:rPr>
      <w:t xml:space="preserve">     </w:t>
    </w:r>
    <w:r>
      <w:rPr>
        <w:rFonts w:ascii="Tw Cen MT" w:hAnsi="Tw Cen MT"/>
        <w:sz w:val="18"/>
        <w:szCs w:val="18"/>
      </w:rPr>
      <w:tab/>
    </w:r>
    <w:hyperlink r:id="rId1" w:history="1">
      <w:r w:rsidRPr="005C2269">
        <w:rPr>
          <w:rStyle w:val="Hyperlink"/>
          <w:rFonts w:ascii="Tw Cen MT" w:hAnsi="Tw Cen MT"/>
          <w:sz w:val="18"/>
          <w:szCs w:val="18"/>
        </w:rPr>
        <w:t>Creative Commons Attribution-NonCommercial License (CC BY-ND)</w:t>
      </w:r>
    </w:hyperlink>
    <w:r w:rsidRPr="00CF5DB0">
      <w:rPr>
        <w:rFonts w:ascii="Tw Cen MT" w:hAnsi="Tw Cen MT"/>
        <w:sz w:val="18"/>
        <w:szCs w:val="18"/>
      </w:rPr>
      <w:t xml:space="preserve">                  </w:t>
    </w:r>
    <w:r>
      <w:rPr>
        <w:rFonts w:ascii="Tw Cen MT" w:hAnsi="Tw Cen MT"/>
        <w:sz w:val="18"/>
        <w:szCs w:val="18"/>
      </w:rPr>
      <w:t xml:space="preserve"> </w:t>
    </w:r>
  </w:p>
  <w:p w14:paraId="398D2354" w14:textId="77777777" w:rsidR="001375E5" w:rsidRPr="007470D6" w:rsidRDefault="001375E5" w:rsidP="001375E5">
    <w:pPr>
      <w:pStyle w:val="Footer"/>
      <w:rPr>
        <w:rFonts w:ascii="Tw Cen MT" w:hAnsi="Tw Cen MT"/>
        <w:sz w:val="18"/>
        <w:szCs w:val="18"/>
      </w:rPr>
    </w:pPr>
    <w:r>
      <w:rPr>
        <w:noProof/>
      </w:rPr>
      <w:drawing>
        <wp:anchor distT="0" distB="0" distL="114300" distR="114300" simplePos="0" relativeHeight="251659264" behindDoc="1" locked="0" layoutInCell="1" allowOverlap="1" wp14:anchorId="769125A1" wp14:editId="3B0996DB">
          <wp:simplePos x="0" y="0"/>
          <wp:positionH relativeFrom="column">
            <wp:posOffset>5392420</wp:posOffset>
          </wp:positionH>
          <wp:positionV relativeFrom="paragraph">
            <wp:posOffset>69850</wp:posOffset>
          </wp:positionV>
          <wp:extent cx="522605" cy="182880"/>
          <wp:effectExtent l="0" t="0" r="0" b="0"/>
          <wp:wrapTight wrapText="bothSides">
            <wp:wrapPolygon edited="0">
              <wp:start x="0" y="0"/>
              <wp:lineTo x="0" y="19500"/>
              <wp:lineTo x="20996" y="19500"/>
              <wp:lineTo x="20996" y="0"/>
              <wp:lineTo x="0" y="0"/>
            </wp:wrapPolygon>
          </wp:wrapTight>
          <wp:docPr id="385177222"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77222" name="Picture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2605"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w Cen MT" w:hAnsi="Tw Cen MT"/>
        <w:sz w:val="18"/>
        <w:szCs w:val="18"/>
      </w:rPr>
      <w:t>I</w:t>
    </w:r>
    <w:r w:rsidRPr="00CF5DB0">
      <w:rPr>
        <w:rFonts w:ascii="Tw Cen MT" w:hAnsi="Tw Cen MT"/>
        <w:sz w:val="18"/>
        <w:szCs w:val="18"/>
      </w:rPr>
      <w:t>SSN Online 2577-8188</w:t>
    </w:r>
    <w:r>
      <w:rPr>
        <w:rFonts w:ascii="Tw Cen MT" w:hAnsi="Tw Cen MT"/>
        <w:sz w:val="18"/>
        <w:szCs w:val="18"/>
      </w:rPr>
      <w:tab/>
    </w:r>
    <w:r>
      <w:rPr>
        <w:rFonts w:ascii="Tw Cen MT" w:hAnsi="Tw Cen MT"/>
        <w:sz w:val="18"/>
        <w:szCs w:val="18"/>
      </w:rPr>
      <w:tab/>
      <w:t xml:space="preserve"> </w:t>
    </w:r>
  </w:p>
  <w:p w14:paraId="3886A017" w14:textId="3BA335D0" w:rsidR="00CF5DB0" w:rsidRPr="00CF5DB0" w:rsidRDefault="00CF5DB0" w:rsidP="00CF5DB0">
    <w:pPr>
      <w:pStyle w:val="Footer"/>
      <w:jc w:val="center"/>
      <w:rPr>
        <w:sz w:val="18"/>
        <w:szCs w:val="18"/>
      </w:rPr>
    </w:pPr>
    <w:r w:rsidRPr="00CF5DB0">
      <w:rPr>
        <w:rFonts w:ascii="Tw Cen MT" w:hAnsi="Tw Cen MT"/>
        <w:b/>
        <w:bCs/>
        <w:sz w:val="18"/>
        <w:szCs w:val="18"/>
      </w:rPr>
      <w:fldChar w:fldCharType="begin"/>
    </w:r>
    <w:r w:rsidRPr="00CF5DB0">
      <w:rPr>
        <w:rFonts w:ascii="Tw Cen MT" w:hAnsi="Tw Cen MT"/>
        <w:b/>
        <w:bCs/>
        <w:sz w:val="18"/>
        <w:szCs w:val="18"/>
      </w:rPr>
      <w:instrText xml:space="preserve"> PAGE   \* MERGEFORMAT </w:instrText>
    </w:r>
    <w:r w:rsidRPr="00CF5DB0">
      <w:rPr>
        <w:rFonts w:ascii="Tw Cen MT" w:hAnsi="Tw Cen MT"/>
        <w:b/>
        <w:bCs/>
        <w:sz w:val="18"/>
        <w:szCs w:val="18"/>
      </w:rPr>
      <w:fldChar w:fldCharType="separate"/>
    </w:r>
    <w:r w:rsidRPr="00CF5DB0">
      <w:rPr>
        <w:rFonts w:ascii="Tw Cen MT" w:hAnsi="Tw Cen MT"/>
        <w:b/>
        <w:bCs/>
        <w:sz w:val="18"/>
        <w:szCs w:val="18"/>
      </w:rPr>
      <w:t>46</w:t>
    </w:r>
    <w:r w:rsidRPr="00CF5DB0">
      <w:rPr>
        <w:rFonts w:ascii="Tw Cen MT" w:hAnsi="Tw Cen MT"/>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ABDADB" w14:textId="77777777" w:rsidR="001375E5" w:rsidRDefault="00137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56D491" w14:textId="77777777" w:rsidR="00150B4E" w:rsidRDefault="00150B4E" w:rsidP="00CF5DB0">
      <w:pPr>
        <w:spacing w:after="0" w:line="240" w:lineRule="auto"/>
      </w:pPr>
      <w:r>
        <w:separator/>
      </w:r>
    </w:p>
  </w:footnote>
  <w:footnote w:type="continuationSeparator" w:id="0">
    <w:p w14:paraId="28698E52" w14:textId="77777777" w:rsidR="00150B4E" w:rsidRDefault="00150B4E" w:rsidP="00CF5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AC6FDA" w14:textId="77777777" w:rsidR="001375E5" w:rsidRDefault="001375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3B2F2" w14:textId="6455CCAB" w:rsidR="00CF5DB0" w:rsidRPr="008352AC"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b/>
        <w:bCs/>
        <w:i/>
        <w:iCs/>
        <w:sz w:val="24"/>
        <w:szCs w:val="24"/>
      </w:rPr>
    </w:pPr>
    <w:r>
      <w:rPr>
        <w:rFonts w:ascii="Tw Cen MT" w:hAnsi="Tw Cen MT"/>
        <w:i/>
        <w:iCs/>
        <w:sz w:val="24"/>
        <w:szCs w:val="24"/>
      </w:rPr>
      <w:t>Clinical Practice in Athletic Training</w:t>
    </w:r>
    <w:r>
      <w:rPr>
        <w:rFonts w:ascii="Tw Cen MT" w:hAnsi="Tw Cen MT"/>
        <w:i/>
        <w:iCs/>
        <w:sz w:val="24"/>
        <w:szCs w:val="24"/>
      </w:rPr>
      <w:tab/>
    </w:r>
    <w:r>
      <w:rPr>
        <w:rFonts w:ascii="Tw Cen MT" w:hAnsi="Tw Cen MT"/>
        <w:i/>
        <w:iCs/>
        <w:sz w:val="24"/>
        <w:szCs w:val="24"/>
      </w:rPr>
      <w:tab/>
    </w:r>
    <w:r>
      <w:rPr>
        <w:rFonts w:ascii="Tw Cen MT" w:hAnsi="Tw Cen MT"/>
        <w:i/>
        <w:iCs/>
        <w:sz w:val="24"/>
        <w:szCs w:val="24"/>
      </w:rPr>
      <w:tab/>
      <w:t xml:space="preserve"> </w:t>
    </w:r>
    <w:r w:rsidR="005E125C">
      <w:rPr>
        <w:rFonts w:ascii="Tw Cen MT" w:hAnsi="Tw Cen MT"/>
        <w:i/>
        <w:iCs/>
        <w:sz w:val="24"/>
        <w:szCs w:val="24"/>
      </w:rPr>
      <w:t xml:space="preserve">                          </w:t>
    </w:r>
    <w:r w:rsidR="00422A0F">
      <w:rPr>
        <w:rFonts w:ascii="Tw Cen MT" w:hAnsi="Tw Cen MT"/>
        <w:i/>
        <w:iCs/>
        <w:sz w:val="24"/>
        <w:szCs w:val="24"/>
      </w:rPr>
      <w:t xml:space="preserve">     </w:t>
    </w:r>
    <w:r w:rsidR="00422A0F">
      <w:rPr>
        <w:rFonts w:ascii="Tw Cen MT" w:hAnsi="Tw Cen MT"/>
        <w:b/>
        <w:bCs/>
        <w:i/>
        <w:iCs/>
        <w:sz w:val="24"/>
        <w:szCs w:val="24"/>
      </w:rPr>
      <w:t>Commentary &amp; Editorial</w:t>
    </w:r>
  </w:p>
  <w:p w14:paraId="5394D371" w14:textId="643B51ED" w:rsidR="00CF5DB0" w:rsidRDefault="00166E17"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roofErr w:type="gramStart"/>
    <w:r>
      <w:rPr>
        <w:rFonts w:ascii="Tw Cen MT" w:hAnsi="Tw Cen MT"/>
        <w:sz w:val="24"/>
        <w:szCs w:val="24"/>
      </w:rPr>
      <w:t>YYYY</w:t>
    </w:r>
    <w:r w:rsidRPr="008352AC">
      <w:rPr>
        <w:rFonts w:ascii="Tw Cen MT" w:hAnsi="Tw Cen MT"/>
        <w:sz w:val="24"/>
        <w:szCs w:val="24"/>
      </w:rPr>
      <w:t>;</w:t>
    </w:r>
    <w:r>
      <w:rPr>
        <w:rFonts w:ascii="Tw Cen MT" w:hAnsi="Tw Cen MT"/>
        <w:sz w:val="24"/>
        <w:szCs w:val="24"/>
      </w:rPr>
      <w:t>V</w:t>
    </w:r>
    <w:proofErr w:type="gramEnd"/>
    <w:r w:rsidRPr="008352AC">
      <w:rPr>
        <w:rFonts w:ascii="Tw Cen MT" w:hAnsi="Tw Cen MT"/>
        <w:sz w:val="24"/>
        <w:szCs w:val="24"/>
      </w:rPr>
      <w:t>(</w:t>
    </w:r>
    <w:r>
      <w:rPr>
        <w:rFonts w:ascii="Tw Cen MT" w:hAnsi="Tw Cen MT"/>
        <w:sz w:val="24"/>
        <w:szCs w:val="24"/>
      </w:rPr>
      <w:t>I</w:t>
    </w:r>
    <w:proofErr w:type="gramStart"/>
    <w:r w:rsidRPr="008352AC">
      <w:rPr>
        <w:rFonts w:ascii="Tw Cen MT" w:hAnsi="Tw Cen MT"/>
        <w:sz w:val="24"/>
        <w:szCs w:val="24"/>
      </w:rPr>
      <w:t>):</w:t>
    </w:r>
    <w:r>
      <w:rPr>
        <w:rFonts w:ascii="Tw Cen MT" w:hAnsi="Tw Cen MT"/>
        <w:sz w:val="24"/>
        <w:szCs w:val="24"/>
      </w:rPr>
      <w:t>XX</w:t>
    </w:r>
    <w:proofErr w:type="gramEnd"/>
    <w:r>
      <w:rPr>
        <w:rFonts w:ascii="Tw Cen MT" w:hAnsi="Tw Cen MT"/>
        <w:sz w:val="24"/>
        <w:szCs w:val="24"/>
      </w:rPr>
      <w:t>-XX</w:t>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t xml:space="preserve">           </w:t>
    </w:r>
    <w:r w:rsidR="00577C89">
      <w:rPr>
        <w:rFonts w:ascii="Tw Cen MT" w:hAnsi="Tw Cen MT"/>
        <w:sz w:val="24"/>
        <w:szCs w:val="24"/>
      </w:rPr>
      <w:t xml:space="preserve">         </w:t>
    </w:r>
    <w:r w:rsidR="005E125C">
      <w:rPr>
        <w:rFonts w:ascii="Tw Cen MT" w:hAnsi="Tw Cen MT"/>
        <w:sz w:val="24"/>
        <w:szCs w:val="24"/>
      </w:rPr>
      <w:t xml:space="preserve"> </w:t>
    </w:r>
  </w:p>
  <w:p w14:paraId="0F8074B0"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r w:rsidRPr="008352AC">
      <w:rPr>
        <w:rFonts w:ascii="Tw Cen MT" w:hAnsi="Tw Cen MT"/>
        <w:sz w:val="24"/>
        <w:szCs w:val="24"/>
      </w:rPr>
      <w:t>scholarcommons.sc.edu/</w:t>
    </w:r>
    <w:proofErr w:type="spellStart"/>
    <w:r w:rsidRPr="008352AC">
      <w:rPr>
        <w:rFonts w:ascii="Tw Cen MT" w:hAnsi="Tw Cen MT"/>
        <w:sz w:val="24"/>
        <w:szCs w:val="24"/>
      </w:rPr>
      <w:t>clinat</w:t>
    </w:r>
    <w:proofErr w:type="spellEnd"/>
  </w:p>
  <w:p w14:paraId="0164ACEC" w14:textId="576F7D38" w:rsidR="00CF5DB0" w:rsidRDefault="00CF5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5CF58" w14:textId="77777777" w:rsidR="001375E5" w:rsidRDefault="001375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6C48C3"/>
    <w:multiLevelType w:val="hybridMultilevel"/>
    <w:tmpl w:val="2554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574E79"/>
    <w:multiLevelType w:val="multilevel"/>
    <w:tmpl w:val="7D1A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8F0474"/>
    <w:multiLevelType w:val="hybridMultilevel"/>
    <w:tmpl w:val="E5CA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5134831">
    <w:abstractNumId w:val="0"/>
  </w:num>
  <w:num w:numId="2" w16cid:durableId="1490973435">
    <w:abstractNumId w:val="2"/>
  </w:num>
  <w:num w:numId="3" w16cid:durableId="19072989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0"/>
    <w:rsid w:val="0006232B"/>
    <w:rsid w:val="000A2E08"/>
    <w:rsid w:val="000F421B"/>
    <w:rsid w:val="00136E3C"/>
    <w:rsid w:val="001375E5"/>
    <w:rsid w:val="001460AE"/>
    <w:rsid w:val="00150B4E"/>
    <w:rsid w:val="00166E17"/>
    <w:rsid w:val="002D4021"/>
    <w:rsid w:val="003A74CF"/>
    <w:rsid w:val="00422A0F"/>
    <w:rsid w:val="004D4138"/>
    <w:rsid w:val="005450A6"/>
    <w:rsid w:val="00577C89"/>
    <w:rsid w:val="005C2269"/>
    <w:rsid w:val="005E125C"/>
    <w:rsid w:val="0060323F"/>
    <w:rsid w:val="0068240A"/>
    <w:rsid w:val="00740F82"/>
    <w:rsid w:val="007F46BA"/>
    <w:rsid w:val="008B61B4"/>
    <w:rsid w:val="009306FE"/>
    <w:rsid w:val="00954136"/>
    <w:rsid w:val="00954B5D"/>
    <w:rsid w:val="00955E73"/>
    <w:rsid w:val="00AB1978"/>
    <w:rsid w:val="00AC0A69"/>
    <w:rsid w:val="00BC66FD"/>
    <w:rsid w:val="00C31090"/>
    <w:rsid w:val="00C347D4"/>
    <w:rsid w:val="00C71CF5"/>
    <w:rsid w:val="00C71E4C"/>
    <w:rsid w:val="00C90720"/>
    <w:rsid w:val="00CB658F"/>
    <w:rsid w:val="00CF5DB0"/>
    <w:rsid w:val="00DF5461"/>
    <w:rsid w:val="00F10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9058A"/>
  <w15:chartTrackingRefBased/>
  <w15:docId w15:val="{FB4607A8-5B76-4CFC-B813-265ABA8F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DB0"/>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autoRedefine/>
    <w:uiPriority w:val="9"/>
    <w:qFormat/>
    <w:rsid w:val="00C347D4"/>
    <w:pPr>
      <w:keepNext/>
      <w:keepLines/>
      <w:widowControl w:val="0"/>
      <w:autoSpaceDE w:val="0"/>
      <w:autoSpaceDN w:val="0"/>
      <w:spacing w:before="240" w:after="0" w:line="240" w:lineRule="auto"/>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semiHidden/>
    <w:unhideWhenUsed/>
    <w:qFormat/>
    <w:rsid w:val="00CF5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D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D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D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7D4"/>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semiHidden/>
    <w:rsid w:val="00CF5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DB0"/>
    <w:rPr>
      <w:rFonts w:eastAsiaTheme="majorEastAsia" w:cstheme="majorBidi"/>
      <w:color w:val="272727" w:themeColor="text1" w:themeTint="D8"/>
    </w:rPr>
  </w:style>
  <w:style w:type="paragraph" w:styleId="Title">
    <w:name w:val="Title"/>
    <w:basedOn w:val="Normal"/>
    <w:next w:val="Normal"/>
    <w:link w:val="TitleChar"/>
    <w:uiPriority w:val="10"/>
    <w:qFormat/>
    <w:rsid w:val="00CF5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DB0"/>
    <w:pPr>
      <w:spacing w:before="160"/>
      <w:jc w:val="center"/>
    </w:pPr>
    <w:rPr>
      <w:i/>
      <w:iCs/>
      <w:color w:val="404040" w:themeColor="text1" w:themeTint="BF"/>
    </w:rPr>
  </w:style>
  <w:style w:type="character" w:customStyle="1" w:styleId="QuoteChar">
    <w:name w:val="Quote Char"/>
    <w:basedOn w:val="DefaultParagraphFont"/>
    <w:link w:val="Quote"/>
    <w:uiPriority w:val="29"/>
    <w:rsid w:val="00CF5DB0"/>
    <w:rPr>
      <w:i/>
      <w:iCs/>
      <w:color w:val="404040" w:themeColor="text1" w:themeTint="BF"/>
    </w:rPr>
  </w:style>
  <w:style w:type="paragraph" w:styleId="ListParagraph">
    <w:name w:val="List Paragraph"/>
    <w:basedOn w:val="Normal"/>
    <w:uiPriority w:val="34"/>
    <w:qFormat/>
    <w:rsid w:val="00CF5DB0"/>
    <w:pPr>
      <w:ind w:left="720"/>
      <w:contextualSpacing/>
    </w:pPr>
  </w:style>
  <w:style w:type="character" w:styleId="IntenseEmphasis">
    <w:name w:val="Intense Emphasis"/>
    <w:basedOn w:val="DefaultParagraphFont"/>
    <w:uiPriority w:val="21"/>
    <w:qFormat/>
    <w:rsid w:val="00CF5DB0"/>
    <w:rPr>
      <w:i/>
      <w:iCs/>
      <w:color w:val="0F4761" w:themeColor="accent1" w:themeShade="BF"/>
    </w:rPr>
  </w:style>
  <w:style w:type="paragraph" w:styleId="IntenseQuote">
    <w:name w:val="Intense Quote"/>
    <w:basedOn w:val="Normal"/>
    <w:next w:val="Normal"/>
    <w:link w:val="IntenseQuoteChar"/>
    <w:uiPriority w:val="30"/>
    <w:qFormat/>
    <w:rsid w:val="00CF5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DB0"/>
    <w:rPr>
      <w:i/>
      <w:iCs/>
      <w:color w:val="0F4761" w:themeColor="accent1" w:themeShade="BF"/>
    </w:rPr>
  </w:style>
  <w:style w:type="character" w:styleId="IntenseReference">
    <w:name w:val="Intense Reference"/>
    <w:basedOn w:val="DefaultParagraphFont"/>
    <w:uiPriority w:val="32"/>
    <w:qFormat/>
    <w:rsid w:val="00CF5DB0"/>
    <w:rPr>
      <w:b/>
      <w:bCs/>
      <w:smallCaps/>
      <w:color w:val="0F4761" w:themeColor="accent1" w:themeShade="BF"/>
      <w:spacing w:val="5"/>
    </w:rPr>
  </w:style>
  <w:style w:type="paragraph" w:styleId="Header">
    <w:name w:val="header"/>
    <w:basedOn w:val="Normal"/>
    <w:link w:val="HeaderChar"/>
    <w:uiPriority w:val="99"/>
    <w:unhideWhenUsed/>
    <w:rsid w:val="00CF5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DB0"/>
    <w:rPr>
      <w:rFonts w:eastAsiaTheme="minorEastAsia"/>
      <w:kern w:val="0"/>
      <w:sz w:val="22"/>
      <w:szCs w:val="22"/>
      <w14:ligatures w14:val="none"/>
    </w:rPr>
  </w:style>
  <w:style w:type="paragraph" w:styleId="BodyText">
    <w:name w:val="Body Text"/>
    <w:basedOn w:val="Normal"/>
    <w:link w:val="BodyTextChar"/>
    <w:uiPriority w:val="1"/>
    <w:rsid w:val="00CF5DB0"/>
    <w:rPr>
      <w:sz w:val="24"/>
      <w:szCs w:val="24"/>
    </w:rPr>
  </w:style>
  <w:style w:type="character" w:customStyle="1" w:styleId="BodyTextChar">
    <w:name w:val="Body Text Char"/>
    <w:basedOn w:val="DefaultParagraphFont"/>
    <w:link w:val="BodyText"/>
    <w:uiPriority w:val="1"/>
    <w:rsid w:val="00CF5DB0"/>
    <w:rPr>
      <w:rFonts w:eastAsiaTheme="minorEastAsia"/>
      <w:kern w:val="0"/>
      <w14:ligatures w14:val="none"/>
    </w:rPr>
  </w:style>
  <w:style w:type="character" w:styleId="PlaceholderText">
    <w:name w:val="Placeholder Text"/>
    <w:basedOn w:val="DefaultParagraphFont"/>
    <w:uiPriority w:val="99"/>
    <w:semiHidden/>
    <w:rsid w:val="00CF5DB0"/>
    <w:rPr>
      <w:color w:val="808080"/>
    </w:rPr>
  </w:style>
  <w:style w:type="paragraph" w:styleId="Footer">
    <w:name w:val="footer"/>
    <w:basedOn w:val="Normal"/>
    <w:link w:val="FooterChar"/>
    <w:uiPriority w:val="99"/>
    <w:unhideWhenUsed/>
    <w:rsid w:val="00CF5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DB0"/>
    <w:rPr>
      <w:rFonts w:eastAsiaTheme="minorEastAsia"/>
      <w:kern w:val="0"/>
      <w:sz w:val="22"/>
      <w:szCs w:val="22"/>
      <w14:ligatures w14:val="none"/>
    </w:rPr>
  </w:style>
  <w:style w:type="character" w:styleId="LineNumber">
    <w:name w:val="line number"/>
    <w:basedOn w:val="DefaultParagraphFont"/>
    <w:uiPriority w:val="99"/>
    <w:semiHidden/>
    <w:unhideWhenUsed/>
    <w:rsid w:val="005E125C"/>
  </w:style>
  <w:style w:type="character" w:styleId="Hyperlink">
    <w:name w:val="Hyperlink"/>
    <w:basedOn w:val="DefaultParagraphFont"/>
    <w:uiPriority w:val="99"/>
    <w:unhideWhenUsed/>
    <w:rsid w:val="00C71CF5"/>
    <w:rPr>
      <w:color w:val="467886" w:themeColor="hyperlink"/>
      <w:u w:val="single"/>
    </w:rPr>
  </w:style>
  <w:style w:type="character" w:styleId="UnresolvedMention">
    <w:name w:val="Unresolved Mention"/>
    <w:basedOn w:val="DefaultParagraphFont"/>
    <w:uiPriority w:val="99"/>
    <w:semiHidden/>
    <w:unhideWhenUsed/>
    <w:rsid w:val="005C2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Winkelmann, Zachary</dc:creator>
  <cp:keywords/>
  <dc:description/>
  <cp:lastModifiedBy>Drescher, Matt</cp:lastModifiedBy>
  <cp:revision>4</cp:revision>
  <dcterms:created xsi:type="dcterms:W3CDTF">2026-08-07T14:52:00Z</dcterms:created>
  <dcterms:modified xsi:type="dcterms:W3CDTF">2026-08-07T15:21:00Z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7d47060d-a20d-4475-9ee8-c0dd81b15cc0</vt:lpwstr>
  </property>
</Properties>
</file>